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2022.12.23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ԵՔ-ԷԱՃԾՁԲ-23/17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переводческих услуг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18</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ԵՔ-ԷԱՃԾՁԲ-23/17</w:t>
      </w:r>
      <w:r w:rsidRPr="00496FAD">
        <w:rPr>
          <w:rFonts w:ascii="Calibri" w:hAnsi="Calibri" w:cs="Times Armenian"/>
          <w:i/>
          <w:lang w:val="ru-RU"/>
        </w:rPr>
        <w:br/>
      </w:r>
      <w:r w:rsidRPr="00496FAD">
        <w:rPr>
          <w:rFonts w:ascii="Calibri" w:hAnsi="Calibri" w:cstheme="minorHAnsi"/>
          <w:szCs w:val="20"/>
          <w:lang w:val="af-ZA"/>
        </w:rPr>
        <w:t>2022.12.23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переводческих услуг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переводческих услуг</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переводческих услуг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письменного перевода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синхронного и последовательного перевода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перевода технических спецификаций для тендерных документов с армянского на русский и с армянского на английский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394.07</w:t>
      </w:r>
      <w:r w:rsidRPr="005704A1">
        <w:rPr>
          <w:rFonts w:ascii="Calibri" w:hAnsi="Calibri"/>
          <w:szCs w:val="22"/>
        </w:rPr>
        <w:t xml:space="preserve"> драмом, российский рубль </w:t>
      </w:r>
      <w:r w:rsidRPr="005704A1">
        <w:rPr>
          <w:rFonts w:ascii="Calibri" w:hAnsi="Calibri"/>
          <w:lang w:val="hy-AM"/>
        </w:rPr>
        <w:t>5.45</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418.74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2023.01.11.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ԵՔ-ԷԱՃԾՁԲ-23/17</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ԵՔ-ԷԱՃԾՁԲ-23/17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ԵՔ-ԷԱՃԾՁԲ-23/17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"ԵՔ-ԷԱՃԾՁԲ-23/17"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ԵՔ-ԷԱՃԾՁԲ-23/17*.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"ԵՔ-ԷԱՃԾՁԲ-23/17"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ԵՔ-ԷԱՃԾՁԲ-23/17*.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ԵՔ-ԷԱՃԾՁԲ-23/17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управление внешних связей аппарата мэрии Еревана.[8]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письменного перевода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армянского на английский, с английского на армянский, с армянского на французский, с французского на армянский, с армянского -русский, с русского на армянский  /при необходимости также на персидский, грузинский, немецкий, итальянский, китайский/
1. Переводимые и переведенные материалы должны предоставляться в соответствии с объемом переводимого материала (в срок, согласованный с заказчиком) в двух экземплярах в местах, установленных Заказчиком.
2. Если у Заказчика в рамках его услуг по   переводу есть определенная принятая терминология, Исполнитель обязан   выполнить перевод с использованием конкретной требуемой терминологии. 
3. Услуги перевода должны соответствовать   требованиям  ՀՍՏ ԵՆ 15038-2007 «Услуги по переводу». Требования к   услугам», международным стандартам, принятым ЗАО «Национальный институт стандартов ».            
4. Одна страница письменного перевода должна состоять из 
1800 символов   (пробелы не являются символами), если переведенный материал содержит до 1800 знаков, он считается за одну страницу.          Переведенный материал представляется в формате А4, буквы -   12 шрифтом. Поля страницы - 20   мм сверху, 20 мм снизу, 10 мм справа и 30 мм слева. Междустрочный интервал -    1,5.   
5. Материалы, содержащие специализированные термины, считаются специализированными. 
Заказчик передает   переводимый текст Исполнителю на электронном и бумажном носителе.   Переведенный материал передается Заказчику   на электронном и бумажном носителе.
6. Планируемый объем услуг -   до 1200 страниц.
7. Победивший участник обеспечивает конфиденциальность переводимого материала.           
8. В случае неправильного перевода победивший участник уплачивает клиенту штраф в размере убытков, возникших в результате каждого записанного неправильного перевода.
9. Заказы осуществляются посредством телефонного звонка и электронной почты.    
10. Предоставление услуг осуществляется на территории РА, по указанному заказчиком адресу.  
11. Услуги должны предоставляться с надлежащим качеством и в сроки, указанные заказчиком. Вопросы, касающиеся других технических решений, будут решаться и согласовываться с Заказчиком и победившим участником.
Оплата услуг будет производиться по факту выполненных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синхронного и последовательного перевода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армянский-английский, английский-армянский
армянский-французский, французский-армянский
армянский-русский, русский-армянский
/при необходимости также на персидский, грузинский, немецкий, итальянский, китайский/
/при необходимости средние и сложные юридические переводы также в рамках судебных дел/
1. Качественная услуга синхронного перевода и качественная услуга последовательного перевода для Заказчика в указанных местах.
2. Стоимость услуги устного перевода рассчитывается почасово.
3. Предполагаемый объем работ: до 150 часов. Вопросы, касающиеся других технических решений, будут решаться и согласовываться с Заказчиком и победившим участником.
Оплата услуг будет производиться по факту выполненных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перевода технических спецификаций для тендерных документов с армянского на русский и с армянского на английский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армянского на русский
С армянского на английский
1. Материалы, подлежащие переводу, и переведены материалы должны предоставляться согласно объемам переводимых материалов (в согласованные с Заказчиком сроки, в том числе- в случае оперативного перевода- до 54000 знаков в течение 24 часов), в двух экземплярах, в местах, определяемых Заказчиком. 
2. Если у Заказчика в рамках его услуг по   переводу есть определенная принятая терминология, Исполнитель обязан   выполнить перевод с использованием конкретной требуемой терминологии. 
3. Услуги перевода должны соответствовать   требованиям ՀՍՏ ԵՆ 15038-2007 «Услуги по переводу». Требования к   услугам», международным стандартам, принятым ЗАО «Национальный институт стандартов».            
4. Одна страница письменного перевода должна состоять из 
1800 символов (пробелы не являются символами), если переведенный материал содержит до 1800 знаков, он считается за одну страницу. Переведенный материал представляется в формате А4, буквы -   12 шрифтом. Поля страницы - 20   мм сверху, 20 мм снизу, 10 мм справа и 30 мм слева. Междустрочный интервал -    1,5.   
5. Материалы, содержащие специализированные термины, считаются специализированными. 
Заказчик передает   переводимый текст Исполнителю на электронном и бумажном носителе.   Переведенный материал передается Заказчику   на электронном и бумажном носителе.
6. Планируемый объем услуг -   до 1200 страниц.
7. Победивший участник обеспечивает конфиденциальность переводимого материала.           
8. В случае неправильного перевода победивший участник уплачивает клиенту штраф в размере убытков, возникших в результате каждого записанного неправильного перевода.
9. Заказы осуществляются посредством телефонного звонка и электронной почты.    
10. Предоставление услуг осуществляется на территории РА, по указанному заказчиком адресу.  
11. Услуги должны предоставляться с надлежащим качеством и в сроки, указанные заказчиком. Вопросы, касающиеся других технических решений, будут решаться и согласовываться с Заказчиком и победившим участником.
Оплата услуг будет производиться по факту выполненных переводов.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договора/договора/ в силу до 25 декабря 2023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договора/договора/ в силу до 25 декабря 2023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договора/договора/ в силу до 25 декабря 2023 года включительно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